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2B08D6" w14:textId="3547D8ED" w:rsidR="00275AE3" w:rsidRPr="00B669A0" w:rsidRDefault="00B669A0" w:rsidP="00B669A0">
      <w:pPr>
        <w:spacing w:after="0"/>
        <w:jc w:val="center"/>
        <w:rPr>
          <w:b/>
          <w:bCs/>
          <w:lang w:val="en-GB"/>
        </w:rPr>
      </w:pPr>
      <w:r w:rsidRPr="00B669A0">
        <w:rPr>
          <w:b/>
          <w:bCs/>
          <w:lang w:val="en-GB"/>
        </w:rPr>
        <w:t>TARGETED STAKEHOLDER CONSULTATION 202</w:t>
      </w:r>
      <w:r w:rsidR="0038485A">
        <w:rPr>
          <w:b/>
          <w:bCs/>
          <w:lang w:val="en-GB"/>
        </w:rPr>
        <w:t>2</w:t>
      </w:r>
      <w:r w:rsidRPr="00B669A0">
        <w:rPr>
          <w:b/>
          <w:bCs/>
          <w:lang w:val="en-GB"/>
        </w:rPr>
        <w:t xml:space="preserve"> RULE OF LAW REPORT</w:t>
      </w:r>
    </w:p>
    <w:p w14:paraId="23699319" w14:textId="575C3A05" w:rsidR="00B669A0" w:rsidRPr="00B669A0" w:rsidRDefault="00B669A0" w:rsidP="00B669A0">
      <w:pPr>
        <w:spacing w:after="0"/>
        <w:jc w:val="center"/>
        <w:rPr>
          <w:b/>
          <w:bCs/>
          <w:lang w:val="en-AU"/>
        </w:rPr>
      </w:pPr>
      <w:r w:rsidRPr="00B669A0">
        <w:rPr>
          <w:b/>
          <w:bCs/>
          <w:lang w:val="en-AU"/>
        </w:rPr>
        <w:t>UN HUMAN RIGHTS REGIONAL OFFICE FOR EUROPE (OHCHR)</w:t>
      </w:r>
    </w:p>
    <w:p w14:paraId="56642246" w14:textId="77777777" w:rsidR="00B669A0" w:rsidRPr="00B669A0" w:rsidRDefault="00B669A0" w:rsidP="00B669A0">
      <w:pPr>
        <w:spacing w:after="0"/>
        <w:rPr>
          <w:b/>
          <w:bCs/>
          <w:lang w:val="en-AU"/>
        </w:rPr>
      </w:pPr>
    </w:p>
    <w:p w14:paraId="465166AB" w14:textId="66B307DB" w:rsidR="001B7CA2" w:rsidRPr="0002213A" w:rsidRDefault="00F302ED" w:rsidP="00B669A0">
      <w:pPr>
        <w:pBdr>
          <w:bottom w:val="single" w:sz="4" w:space="1" w:color="auto"/>
        </w:pBdr>
        <w:rPr>
          <w:b/>
          <w:bCs/>
          <w:lang w:val="en-GB"/>
        </w:rPr>
      </w:pPr>
      <w:r>
        <w:rPr>
          <w:b/>
          <w:lang w:val="en-AU"/>
        </w:rPr>
        <w:t xml:space="preserve">ITALY </w:t>
      </w:r>
      <w:r w:rsidR="00B669A0" w:rsidRPr="0002213A">
        <w:rPr>
          <w:b/>
          <w:bCs/>
          <w:lang w:val="en-AU"/>
        </w:rPr>
        <w:t>REVIEW</w:t>
      </w:r>
    </w:p>
    <w:p w14:paraId="663EC294" w14:textId="6351A4F4" w:rsidR="00FF5A3B" w:rsidRPr="00514447" w:rsidRDefault="001B7CA2" w:rsidP="00514447">
      <w:pPr>
        <w:rPr>
          <w:lang w:val="en-GB"/>
        </w:rPr>
      </w:pPr>
      <w:r w:rsidRPr="001B7CA2">
        <w:rPr>
          <w:b/>
          <w:bCs/>
          <w:lang w:val="en-GB"/>
        </w:rPr>
        <w:t xml:space="preserve">I. Justice System </w:t>
      </w:r>
    </w:p>
    <w:p w14:paraId="60B62A00" w14:textId="385B75B1" w:rsidR="001B7CA2" w:rsidRDefault="001B7CA2" w:rsidP="001B7CA2">
      <w:pPr>
        <w:rPr>
          <w:b/>
          <w:bCs/>
          <w:iCs/>
          <w:lang w:val="en-GB"/>
        </w:rPr>
      </w:pPr>
      <w:r w:rsidRPr="009D1508">
        <w:rPr>
          <w:b/>
          <w:bCs/>
          <w:i/>
          <w:iCs/>
          <w:lang w:val="en-GB"/>
        </w:rPr>
        <w:t xml:space="preserve">Other – please specify </w:t>
      </w:r>
    </w:p>
    <w:p w14:paraId="27BECE1C" w14:textId="68693DAA" w:rsidR="004F0EE1" w:rsidRDefault="004F0EE1" w:rsidP="001B7CA2">
      <w:pPr>
        <w:rPr>
          <w:bCs/>
          <w:iCs/>
          <w:lang w:val="en-GB"/>
        </w:rPr>
      </w:pPr>
      <w:r>
        <w:rPr>
          <w:b/>
          <w:bCs/>
          <w:iCs/>
          <w:lang w:val="en-GB"/>
        </w:rPr>
        <w:t>Access to remedy</w:t>
      </w:r>
    </w:p>
    <w:p w14:paraId="02171879" w14:textId="003C62AB" w:rsidR="006A0353" w:rsidRPr="004F0EE1" w:rsidRDefault="004F0EE1" w:rsidP="0093358F">
      <w:pPr>
        <w:jc w:val="both"/>
        <w:rPr>
          <w:bCs/>
          <w:iCs/>
          <w:lang w:val="en-GB"/>
        </w:rPr>
      </w:pPr>
      <w:r>
        <w:rPr>
          <w:bCs/>
          <w:iCs/>
          <w:lang w:val="en-GB"/>
        </w:rPr>
        <w:t>Following its visit to Italy in October 2021, the UN Working Group on business and human rights</w:t>
      </w:r>
      <w:r w:rsidRPr="004F0EE1">
        <w:rPr>
          <w:bCs/>
          <w:iCs/>
          <w:lang w:val="en-GB"/>
        </w:rPr>
        <w:t xml:space="preserve"> </w:t>
      </w:r>
      <w:r w:rsidR="006A0353">
        <w:rPr>
          <w:bCs/>
          <w:iCs/>
          <w:lang w:val="en-GB"/>
        </w:rPr>
        <w:t xml:space="preserve">in its statement </w:t>
      </w:r>
      <w:r w:rsidRPr="004F0EE1">
        <w:rPr>
          <w:bCs/>
          <w:iCs/>
          <w:lang w:val="en-GB"/>
        </w:rPr>
        <w:t>called for significant improvements in revising and enforcing laws, conducting effective monitoring of business activities, and strengthening access to effective remedy for business-related human rights abuses. Italian businesses and foreign-owned businesses operating in Italy must also carry out meaningful human rights due diligence across their</w:t>
      </w:r>
      <w:r w:rsidR="006A0353">
        <w:rPr>
          <w:bCs/>
          <w:iCs/>
          <w:lang w:val="en-GB"/>
        </w:rPr>
        <w:t xml:space="preserve"> operations and supply chains (</w:t>
      </w:r>
      <w:hyperlink r:id="rId11" w:history="1">
        <w:r w:rsidR="006A0353" w:rsidRPr="004E7A51">
          <w:rPr>
            <w:rStyle w:val="Hyperlink"/>
            <w:bCs/>
            <w:iCs/>
            <w:lang w:val="en-GB"/>
          </w:rPr>
          <w:t>https://www.ohchr.org/EN/NewsEvents/Pages/DisplayNews.aspx?NewsID=27607&amp;LangID=E</w:t>
        </w:r>
      </w:hyperlink>
      <w:r w:rsidR="006A0353">
        <w:rPr>
          <w:bCs/>
          <w:iCs/>
          <w:lang w:val="en-GB"/>
        </w:rPr>
        <w:t>).</w:t>
      </w:r>
    </w:p>
    <w:p w14:paraId="2F09CC61" w14:textId="77777777" w:rsidR="001B7CA2" w:rsidRPr="001B7CA2" w:rsidRDefault="001B7CA2" w:rsidP="001B7CA2">
      <w:pPr>
        <w:rPr>
          <w:lang w:val="en-GB"/>
        </w:rPr>
      </w:pPr>
      <w:r w:rsidRPr="001B7CA2">
        <w:rPr>
          <w:b/>
          <w:bCs/>
          <w:lang w:val="en-GB"/>
        </w:rPr>
        <w:t xml:space="preserve">III. Media pluralism </w:t>
      </w:r>
    </w:p>
    <w:p w14:paraId="76B3CCBA" w14:textId="275FD753" w:rsidR="001B7CA2" w:rsidRDefault="001B7CA2" w:rsidP="001B7CA2">
      <w:pPr>
        <w:rPr>
          <w:b/>
          <w:bCs/>
          <w:iCs/>
          <w:lang w:val="en-GB"/>
        </w:rPr>
      </w:pPr>
      <w:r w:rsidRPr="001B7CA2">
        <w:rPr>
          <w:b/>
          <w:bCs/>
          <w:i/>
          <w:iCs/>
          <w:lang w:val="en-GB"/>
        </w:rPr>
        <w:t xml:space="preserve">Other – please specify </w:t>
      </w:r>
    </w:p>
    <w:p w14:paraId="22D45688" w14:textId="55670843" w:rsidR="00B751AA" w:rsidRDefault="00B751AA" w:rsidP="001B7CA2">
      <w:pPr>
        <w:rPr>
          <w:bCs/>
          <w:iCs/>
          <w:lang w:val="en-GB"/>
        </w:rPr>
      </w:pPr>
      <w:r>
        <w:rPr>
          <w:b/>
          <w:bCs/>
          <w:iCs/>
          <w:lang w:val="en-GB"/>
        </w:rPr>
        <w:t>Surveillance</w:t>
      </w:r>
    </w:p>
    <w:p w14:paraId="2AD8162A" w14:textId="24EC7E3A" w:rsidR="006A0353" w:rsidRPr="00514447" w:rsidRDefault="00B751AA" w:rsidP="0093358F">
      <w:pPr>
        <w:jc w:val="both"/>
        <w:rPr>
          <w:bCs/>
          <w:iCs/>
          <w:lang w:val="en-GB"/>
        </w:rPr>
      </w:pPr>
      <w:proofErr w:type="gramStart"/>
      <w:r>
        <w:rPr>
          <w:bCs/>
          <w:iCs/>
          <w:lang w:val="en-GB"/>
        </w:rPr>
        <w:t>In 2021, several Special Procedures mandate</w:t>
      </w:r>
      <w:r w:rsidR="0044152B">
        <w:rPr>
          <w:bCs/>
          <w:iCs/>
          <w:lang w:val="en-GB"/>
        </w:rPr>
        <w:t>-</w:t>
      </w:r>
      <w:r>
        <w:rPr>
          <w:bCs/>
          <w:iCs/>
          <w:lang w:val="en-GB"/>
        </w:rPr>
        <w:t xml:space="preserve">holders initiated a dialogue with Italy regarding </w:t>
      </w:r>
      <w:r w:rsidRPr="00B751AA">
        <w:rPr>
          <w:bCs/>
          <w:iCs/>
          <w:lang w:val="en-GB"/>
        </w:rPr>
        <w:t>an alleged pattern of wire-tapping and surveillance by public prosecutors in 2017 of several journalists, as well as staff members of humanitarian relief organisations and human rights defenders, who appear to have been covering or working on the central Mediterranea</w:t>
      </w:r>
      <w:r>
        <w:rPr>
          <w:bCs/>
          <w:iCs/>
          <w:lang w:val="en-GB"/>
        </w:rPr>
        <w:t xml:space="preserve">n </w:t>
      </w:r>
      <w:r w:rsidR="006A0353">
        <w:rPr>
          <w:bCs/>
          <w:iCs/>
          <w:lang w:val="en-GB"/>
        </w:rPr>
        <w:t>migration crisis at that time (</w:t>
      </w:r>
      <w:hyperlink r:id="rId12" w:tgtFrame="Com_26512" w:history="1">
        <w:r w:rsidR="006A0353" w:rsidRPr="006A0353">
          <w:rPr>
            <w:rStyle w:val="Hyperlink"/>
            <w:bCs/>
            <w:iCs/>
            <w:lang w:val="en-US"/>
          </w:rPr>
          <w:t>ITA 2/2021</w:t>
        </w:r>
      </w:hyperlink>
      <w:r w:rsidR="006A0353">
        <w:rPr>
          <w:bCs/>
          <w:iCs/>
          <w:lang w:val="en-US"/>
        </w:rPr>
        <w:t xml:space="preserve">, available at </w:t>
      </w:r>
      <w:hyperlink r:id="rId13" w:history="1">
        <w:r w:rsidR="006A0353" w:rsidRPr="004E7A51">
          <w:rPr>
            <w:rStyle w:val="Hyperlink"/>
            <w:bCs/>
            <w:iCs/>
            <w:lang w:val="en-US"/>
          </w:rPr>
          <w:t>https://spcommreports.ohchr.org/TmSearch/Results</w:t>
        </w:r>
      </w:hyperlink>
      <w:r>
        <w:rPr>
          <w:bCs/>
          <w:iCs/>
          <w:lang w:val="en-GB"/>
        </w:rPr>
        <w:t>).</w:t>
      </w:r>
      <w:proofErr w:type="gramEnd"/>
      <w:r>
        <w:rPr>
          <w:bCs/>
          <w:iCs/>
          <w:lang w:val="en-GB"/>
        </w:rPr>
        <w:t xml:space="preserve"> </w:t>
      </w:r>
    </w:p>
    <w:p w14:paraId="6AC1EDE9" w14:textId="77777777" w:rsidR="001B7CA2" w:rsidRPr="001B7CA2" w:rsidRDefault="001B7CA2" w:rsidP="001B7CA2">
      <w:pPr>
        <w:rPr>
          <w:lang w:val="en-GB"/>
        </w:rPr>
      </w:pPr>
      <w:r w:rsidRPr="001B7CA2">
        <w:rPr>
          <w:b/>
          <w:bCs/>
          <w:lang w:val="en-GB"/>
        </w:rPr>
        <w:t xml:space="preserve">IV. Other institutional issues related to checks and balances </w:t>
      </w:r>
    </w:p>
    <w:p w14:paraId="237B9B4B" w14:textId="77777777" w:rsidR="001B7CA2" w:rsidRPr="001B7CA2" w:rsidRDefault="001B7CA2" w:rsidP="001B7CA2">
      <w:pPr>
        <w:rPr>
          <w:lang w:val="en-GB"/>
        </w:rPr>
      </w:pPr>
      <w:r w:rsidRPr="001B7CA2">
        <w:rPr>
          <w:b/>
          <w:bCs/>
          <w:i/>
          <w:iCs/>
          <w:lang w:val="en-GB"/>
        </w:rPr>
        <w:t xml:space="preserve">B. Independent authorities </w:t>
      </w:r>
    </w:p>
    <w:p w14:paraId="25D40A66" w14:textId="08F4A693" w:rsidR="001B7CA2" w:rsidRDefault="001B7CA2" w:rsidP="001B7CA2">
      <w:pPr>
        <w:rPr>
          <w:iCs/>
          <w:lang w:val="en-GB"/>
        </w:rPr>
      </w:pPr>
      <w:r w:rsidRPr="001B7CA2">
        <w:rPr>
          <w:i/>
          <w:iCs/>
          <w:lang w:val="en-GB"/>
        </w:rPr>
        <w:t>4</w:t>
      </w:r>
      <w:r w:rsidR="00DC49B7">
        <w:rPr>
          <w:i/>
          <w:iCs/>
          <w:lang w:val="en-GB"/>
        </w:rPr>
        <w:t>3</w:t>
      </w:r>
      <w:r w:rsidRPr="001B7CA2">
        <w:rPr>
          <w:i/>
          <w:iCs/>
          <w:lang w:val="en-GB"/>
        </w:rPr>
        <w:t>. Independence, capacity and powers of national human rights institutions (‘NHRIs’), of ombudsman institutions if different from NHRIs, of equality bodies if different from NHRIs and of supreme audit institutions</w:t>
      </w:r>
    </w:p>
    <w:p w14:paraId="4E331AD1" w14:textId="406552CE" w:rsidR="006A0353" w:rsidRPr="00514447" w:rsidRDefault="004F0EE1" w:rsidP="0093358F">
      <w:pPr>
        <w:jc w:val="both"/>
        <w:rPr>
          <w:rFonts w:cstheme="minorHAnsi"/>
          <w:color w:val="000000"/>
          <w:shd w:val="clear" w:color="auto" w:fill="FFFFFF"/>
          <w:lang w:val="en-US"/>
        </w:rPr>
      </w:pPr>
      <w:r w:rsidRPr="004F0EE1">
        <w:rPr>
          <w:rFonts w:cstheme="minorHAnsi"/>
          <w:bCs/>
          <w:iCs/>
          <w:lang w:val="en-GB"/>
        </w:rPr>
        <w:t xml:space="preserve">Following its visit to Italy in October 2021, the UN Working Group on business and human rights </w:t>
      </w:r>
      <w:r w:rsidR="0093358F">
        <w:rPr>
          <w:rFonts w:cstheme="minorHAnsi"/>
          <w:bCs/>
          <w:iCs/>
          <w:lang w:val="en-GB"/>
        </w:rPr>
        <w:t xml:space="preserve">in its statement </w:t>
      </w:r>
      <w:r w:rsidRPr="004F0EE1">
        <w:rPr>
          <w:rFonts w:cstheme="minorHAnsi"/>
          <w:bCs/>
          <w:iCs/>
          <w:lang w:val="en-GB"/>
        </w:rPr>
        <w:t xml:space="preserve">called on Italy to </w:t>
      </w:r>
      <w:r w:rsidRPr="004F0EE1">
        <w:rPr>
          <w:rFonts w:cstheme="minorHAnsi"/>
          <w:color w:val="000000"/>
          <w:shd w:val="clear" w:color="auto" w:fill="FFFFFF"/>
          <w:lang w:val="en-US"/>
        </w:rPr>
        <w:t>establish a strong, independent national human rights institution without further delay with an explicit mandate to deal with busin</w:t>
      </w:r>
      <w:r w:rsidR="006A0353">
        <w:rPr>
          <w:rFonts w:cstheme="minorHAnsi"/>
          <w:color w:val="000000"/>
          <w:shd w:val="clear" w:color="auto" w:fill="FFFFFF"/>
          <w:lang w:val="en-US"/>
        </w:rPr>
        <w:t>ess-related human rights abuses (</w:t>
      </w:r>
      <w:hyperlink r:id="rId14" w:history="1">
        <w:r w:rsidR="006A0353" w:rsidRPr="004E7A51">
          <w:rPr>
            <w:rStyle w:val="Hyperlink"/>
            <w:rFonts w:cstheme="minorHAnsi"/>
            <w:shd w:val="clear" w:color="auto" w:fill="FFFFFF"/>
            <w:lang w:val="en-US"/>
          </w:rPr>
          <w:t>https://www.ohchr.org/EN/NewsEvents/Pages/DisplayNews.aspx?NewsID=27607&amp;LangID=E</w:t>
        </w:r>
      </w:hyperlink>
      <w:r w:rsidR="006A0353">
        <w:rPr>
          <w:rFonts w:cstheme="minorHAnsi"/>
          <w:color w:val="000000"/>
          <w:shd w:val="clear" w:color="auto" w:fill="FFFFFF"/>
          <w:lang w:val="en-US"/>
        </w:rPr>
        <w:t>).</w:t>
      </w:r>
    </w:p>
    <w:p w14:paraId="2081FC02" w14:textId="56876DFF" w:rsidR="001B7CA2" w:rsidRDefault="001B7CA2" w:rsidP="001B7CA2">
      <w:pPr>
        <w:rPr>
          <w:b/>
          <w:bCs/>
          <w:iCs/>
          <w:lang w:val="en-GB"/>
        </w:rPr>
      </w:pPr>
      <w:r w:rsidRPr="001B7CA2">
        <w:rPr>
          <w:b/>
          <w:bCs/>
          <w:i/>
          <w:iCs/>
          <w:lang w:val="en-GB"/>
        </w:rPr>
        <w:t xml:space="preserve">D. The enabling framework for civil society </w:t>
      </w:r>
    </w:p>
    <w:p w14:paraId="44AF2087" w14:textId="3F21BBDC" w:rsidR="000B034D" w:rsidRDefault="000B034D" w:rsidP="001B7CA2">
      <w:pPr>
        <w:rPr>
          <w:rStyle w:val="lblnewsfulltext"/>
          <w:rFonts w:cstheme="minorHAnsi"/>
          <w:iCs/>
          <w:lang w:val="en-US"/>
        </w:rPr>
      </w:pPr>
      <w:r w:rsidRPr="000B034D">
        <w:rPr>
          <w:rStyle w:val="lblnewsfulltext"/>
          <w:rFonts w:cstheme="minorHAnsi"/>
          <w:lang w:val="en-US"/>
        </w:rPr>
        <w:t>4</w:t>
      </w:r>
      <w:r>
        <w:rPr>
          <w:rStyle w:val="lblnewsfulltext"/>
          <w:rFonts w:cstheme="minorHAnsi"/>
          <w:lang w:val="en-US"/>
        </w:rPr>
        <w:t>6</w:t>
      </w:r>
      <w:r w:rsidRPr="000B034D">
        <w:rPr>
          <w:rStyle w:val="lblnewsfulltext"/>
          <w:rFonts w:cstheme="minorHAnsi"/>
          <w:lang w:val="en-US"/>
        </w:rPr>
        <w:t>.</w:t>
      </w:r>
      <w:r w:rsidRPr="000B034D">
        <w:rPr>
          <w:rStyle w:val="lblnewsfulltext"/>
          <w:rFonts w:cstheme="minorHAnsi"/>
          <w:lang w:val="en-US"/>
        </w:rPr>
        <w:tab/>
      </w:r>
      <w:r w:rsidRPr="000B034D">
        <w:rPr>
          <w:rStyle w:val="lblnewsfulltext"/>
          <w:rFonts w:cstheme="minorHAnsi"/>
          <w:i/>
          <w:iCs/>
          <w:lang w:val="en-US"/>
        </w:rPr>
        <w:t xml:space="preserve">Rules and practices guaranteeing the effective operation of civil society </w:t>
      </w:r>
      <w:proofErr w:type="spellStart"/>
      <w:r w:rsidRPr="000B034D">
        <w:rPr>
          <w:rStyle w:val="lblnewsfulltext"/>
          <w:rFonts w:cstheme="minorHAnsi"/>
          <w:i/>
          <w:iCs/>
          <w:lang w:val="en-US"/>
        </w:rPr>
        <w:t>organisations</w:t>
      </w:r>
      <w:proofErr w:type="spellEnd"/>
      <w:r w:rsidRPr="000B034D">
        <w:rPr>
          <w:rStyle w:val="lblnewsfulltext"/>
          <w:rFonts w:cstheme="minorHAnsi"/>
          <w:i/>
          <w:iCs/>
          <w:lang w:val="en-US"/>
        </w:rPr>
        <w:t xml:space="preserve"> and rights defenders</w:t>
      </w:r>
    </w:p>
    <w:p w14:paraId="2BB2DCBD" w14:textId="0D379DA7" w:rsidR="00E87A2E" w:rsidRPr="00514447" w:rsidRDefault="00C55193" w:rsidP="00514447">
      <w:pPr>
        <w:jc w:val="both"/>
        <w:rPr>
          <w:rFonts w:cstheme="minorHAnsi"/>
          <w:color w:val="333333"/>
          <w:shd w:val="clear" w:color="auto" w:fill="FFFFFF"/>
          <w:lang w:val="en-US"/>
        </w:rPr>
      </w:pPr>
      <w:r w:rsidRPr="00B53656">
        <w:rPr>
          <w:rStyle w:val="lblnewsfulltext"/>
          <w:rFonts w:cstheme="minorHAnsi"/>
          <w:iCs/>
          <w:lang w:val="en-US"/>
        </w:rPr>
        <w:t>In 2021, Special Procedures mandate</w:t>
      </w:r>
      <w:r w:rsidR="0044152B">
        <w:rPr>
          <w:rStyle w:val="lblnewsfulltext"/>
          <w:rFonts w:cstheme="minorHAnsi"/>
          <w:iCs/>
          <w:lang w:val="en-US"/>
        </w:rPr>
        <w:t>-</w:t>
      </w:r>
      <w:r w:rsidRPr="00B53656">
        <w:rPr>
          <w:rStyle w:val="lblnewsfulltext"/>
          <w:rFonts w:cstheme="minorHAnsi"/>
          <w:iCs/>
          <w:lang w:val="en-US"/>
        </w:rPr>
        <w:t xml:space="preserve">holders initiated a dialogue with Italy regarding </w:t>
      </w:r>
      <w:r w:rsidRPr="00B53656">
        <w:rPr>
          <w:rFonts w:cstheme="minorHAnsi"/>
          <w:color w:val="333333"/>
          <w:shd w:val="clear" w:color="auto" w:fill="FFFFFF"/>
          <w:lang w:val="en-US"/>
        </w:rPr>
        <w:t>police search and seizure at the home of migrant rights defend</w:t>
      </w:r>
      <w:r w:rsidR="00564A5D">
        <w:rPr>
          <w:rFonts w:cstheme="minorHAnsi"/>
          <w:color w:val="333333"/>
          <w:shd w:val="clear" w:color="auto" w:fill="FFFFFF"/>
          <w:lang w:val="en-US"/>
        </w:rPr>
        <w:t>ers</w:t>
      </w:r>
      <w:r w:rsidR="00A04840">
        <w:rPr>
          <w:rFonts w:cstheme="minorHAnsi"/>
          <w:color w:val="333333"/>
          <w:shd w:val="clear" w:color="auto" w:fill="FFFFFF"/>
          <w:lang w:val="en-US"/>
        </w:rPr>
        <w:t xml:space="preserve"> </w:t>
      </w:r>
      <w:bookmarkStart w:id="0" w:name="_GoBack"/>
      <w:bookmarkEnd w:id="0"/>
      <w:r w:rsidR="00564A5D">
        <w:rPr>
          <w:rFonts w:cstheme="minorHAnsi"/>
          <w:color w:val="333333"/>
          <w:shd w:val="clear" w:color="auto" w:fill="FFFFFF"/>
          <w:lang w:val="en-US"/>
        </w:rPr>
        <w:t>(</w:t>
      </w:r>
      <w:hyperlink r:id="rId15" w:tgtFrame="Com_26258" w:history="1">
        <w:r w:rsidR="00564A5D" w:rsidRPr="00564A5D">
          <w:rPr>
            <w:rStyle w:val="Hyperlink"/>
            <w:rFonts w:cstheme="minorHAnsi"/>
            <w:shd w:val="clear" w:color="auto" w:fill="FFFFFF"/>
            <w:lang w:val="en-US"/>
          </w:rPr>
          <w:t>ITA 1/2021</w:t>
        </w:r>
      </w:hyperlink>
      <w:r w:rsidR="00564A5D">
        <w:rPr>
          <w:rFonts w:cstheme="minorHAnsi"/>
          <w:color w:val="333333"/>
          <w:shd w:val="clear" w:color="auto" w:fill="FFFFFF"/>
          <w:lang w:val="en-US"/>
        </w:rPr>
        <w:t xml:space="preserve">, </w:t>
      </w:r>
      <w:r w:rsidR="006A0353">
        <w:rPr>
          <w:rFonts w:cstheme="minorHAnsi"/>
          <w:color w:val="333333"/>
          <w:shd w:val="clear" w:color="auto" w:fill="FFFFFF"/>
          <w:lang w:val="en-US"/>
        </w:rPr>
        <w:t xml:space="preserve">available at </w:t>
      </w:r>
      <w:hyperlink r:id="rId16" w:history="1">
        <w:r w:rsidR="00564A5D" w:rsidRPr="004E7A51">
          <w:rPr>
            <w:rStyle w:val="Hyperlink"/>
            <w:rFonts w:cstheme="minorHAnsi"/>
            <w:shd w:val="clear" w:color="auto" w:fill="FFFFFF"/>
            <w:lang w:val="en-US"/>
          </w:rPr>
          <w:t>https://spcommreports.ohchr.org/TmSearch/Results</w:t>
        </w:r>
      </w:hyperlink>
      <w:r w:rsidRPr="00B53656">
        <w:rPr>
          <w:rFonts w:cstheme="minorHAnsi"/>
          <w:color w:val="333333"/>
          <w:shd w:val="clear" w:color="auto" w:fill="FFFFFF"/>
          <w:lang w:val="en-US"/>
        </w:rPr>
        <w:t>)</w:t>
      </w:r>
      <w:r w:rsidR="00564A5D">
        <w:rPr>
          <w:rFonts w:cstheme="minorHAnsi"/>
          <w:color w:val="333333"/>
          <w:shd w:val="clear" w:color="auto" w:fill="FFFFFF"/>
          <w:lang w:val="en-US"/>
        </w:rPr>
        <w:t>.</w:t>
      </w:r>
    </w:p>
    <w:p w14:paraId="0CF7DE1A" w14:textId="77777777" w:rsidR="002C3ADB" w:rsidRPr="00E87A2E" w:rsidRDefault="002C3ADB" w:rsidP="00E75F98">
      <w:pPr>
        <w:jc w:val="both"/>
        <w:rPr>
          <w:rFonts w:cstheme="minorHAnsi"/>
          <w:lang w:val="en-US"/>
        </w:rPr>
      </w:pPr>
    </w:p>
    <w:p w14:paraId="3170F293" w14:textId="29F4E78B" w:rsidR="008C7A94" w:rsidRPr="008C7A94" w:rsidRDefault="008C7A94" w:rsidP="00E7579B">
      <w:pPr>
        <w:jc w:val="both"/>
        <w:rPr>
          <w:rFonts w:eastAsia="Calibri" w:cstheme="minorHAnsi"/>
          <w:sz w:val="20"/>
          <w:szCs w:val="24"/>
          <w:lang w:val="en-GB"/>
        </w:rPr>
      </w:pPr>
    </w:p>
    <w:sectPr w:rsidR="008C7A94" w:rsidRPr="008C7A94">
      <w:footerReference w:type="default" r:id="rId17"/>
      <w:endnotePr>
        <w:numFmt w:val="decimal"/>
      </w:end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005795" w14:textId="77777777" w:rsidR="00BC5F8D" w:rsidRDefault="00BC5F8D" w:rsidP="00AB6BD8">
      <w:pPr>
        <w:spacing w:after="0" w:line="240" w:lineRule="auto"/>
      </w:pPr>
      <w:r>
        <w:separator/>
      </w:r>
    </w:p>
  </w:endnote>
  <w:endnote w:type="continuationSeparator" w:id="0">
    <w:p w14:paraId="28BBF188" w14:textId="77777777" w:rsidR="00BC5F8D" w:rsidRDefault="00BC5F8D" w:rsidP="00AB6B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rlito">
    <w:altName w:val="Calibri"/>
    <w:charset w:val="00"/>
    <w:family w:val="swiss"/>
    <w:pitch w:val="variable"/>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187566"/>
      <w:docPartObj>
        <w:docPartGallery w:val="Page Numbers (Bottom of Page)"/>
        <w:docPartUnique/>
      </w:docPartObj>
    </w:sdtPr>
    <w:sdtEndPr/>
    <w:sdtContent>
      <w:p w14:paraId="0500433A" w14:textId="5C9AF365" w:rsidR="00ED7A10" w:rsidRDefault="00ED7A10">
        <w:pPr>
          <w:pStyle w:val="Footer"/>
          <w:jc w:val="center"/>
        </w:pPr>
        <w:r>
          <w:fldChar w:fldCharType="begin"/>
        </w:r>
        <w:r>
          <w:instrText>PAGE   \* MERGEFORMAT</w:instrText>
        </w:r>
        <w:r>
          <w:fldChar w:fldCharType="separate"/>
        </w:r>
        <w:r w:rsidR="00A04840" w:rsidRPr="00A04840">
          <w:rPr>
            <w:noProof/>
            <w:lang w:val="fr-FR"/>
          </w:rPr>
          <w:t>1</w:t>
        </w:r>
        <w:r>
          <w:fldChar w:fldCharType="end"/>
        </w:r>
      </w:p>
    </w:sdtContent>
  </w:sdt>
  <w:p w14:paraId="1E65FFBB" w14:textId="77777777" w:rsidR="00ED7A10" w:rsidRDefault="00ED7A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851F3" w14:textId="77777777" w:rsidR="00BC5F8D" w:rsidRDefault="00BC5F8D" w:rsidP="00AB6BD8">
      <w:pPr>
        <w:spacing w:after="0" w:line="240" w:lineRule="auto"/>
      </w:pPr>
      <w:r>
        <w:separator/>
      </w:r>
    </w:p>
  </w:footnote>
  <w:footnote w:type="continuationSeparator" w:id="0">
    <w:p w14:paraId="380F3C43" w14:textId="77777777" w:rsidR="00BC5F8D" w:rsidRDefault="00BC5F8D" w:rsidP="00AB6BD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D11E2"/>
    <w:multiLevelType w:val="hybridMultilevel"/>
    <w:tmpl w:val="794CE63E"/>
    <w:lvl w:ilvl="0" w:tplc="96666FE4">
      <w:start w:val="11"/>
      <w:numFmt w:val="decimal"/>
      <w:lvlText w:val="%1."/>
      <w:lvlJc w:val="left"/>
      <w:pPr>
        <w:ind w:left="1216" w:hanging="361"/>
      </w:pPr>
      <w:rPr>
        <w:rFonts w:ascii="Carlito" w:eastAsia="Carlito" w:hAnsi="Carlito" w:cs="Carlito" w:hint="default"/>
        <w:i/>
        <w:w w:val="100"/>
        <w:sz w:val="22"/>
        <w:szCs w:val="22"/>
        <w:lang w:val="en-US" w:eastAsia="en-US" w:bidi="ar-SA"/>
      </w:rPr>
    </w:lvl>
    <w:lvl w:ilvl="1" w:tplc="083A08A8">
      <w:numFmt w:val="bullet"/>
      <w:lvlText w:val="-"/>
      <w:lvlJc w:val="left"/>
      <w:pPr>
        <w:ind w:left="1575" w:hanging="360"/>
      </w:pPr>
      <w:rPr>
        <w:rFonts w:ascii="Arial" w:eastAsia="Arial" w:hAnsi="Arial" w:cs="Arial" w:hint="default"/>
        <w:w w:val="100"/>
        <w:sz w:val="22"/>
        <w:szCs w:val="22"/>
        <w:lang w:val="en-US" w:eastAsia="en-US" w:bidi="ar-SA"/>
      </w:rPr>
    </w:lvl>
    <w:lvl w:ilvl="2" w:tplc="6E0E7B2C">
      <w:numFmt w:val="bullet"/>
      <w:lvlText w:val="•"/>
      <w:lvlJc w:val="left"/>
      <w:pPr>
        <w:ind w:left="2442" w:hanging="360"/>
      </w:pPr>
      <w:rPr>
        <w:rFonts w:hint="default"/>
        <w:lang w:val="en-US" w:eastAsia="en-US" w:bidi="ar-SA"/>
      </w:rPr>
    </w:lvl>
    <w:lvl w:ilvl="3" w:tplc="A92472CC">
      <w:numFmt w:val="bullet"/>
      <w:lvlText w:val="•"/>
      <w:lvlJc w:val="left"/>
      <w:pPr>
        <w:ind w:left="3304" w:hanging="360"/>
      </w:pPr>
      <w:rPr>
        <w:rFonts w:hint="default"/>
        <w:lang w:val="en-US" w:eastAsia="en-US" w:bidi="ar-SA"/>
      </w:rPr>
    </w:lvl>
    <w:lvl w:ilvl="4" w:tplc="93C8C310">
      <w:numFmt w:val="bullet"/>
      <w:lvlText w:val="•"/>
      <w:lvlJc w:val="left"/>
      <w:pPr>
        <w:ind w:left="4166" w:hanging="360"/>
      </w:pPr>
      <w:rPr>
        <w:rFonts w:hint="default"/>
        <w:lang w:val="en-US" w:eastAsia="en-US" w:bidi="ar-SA"/>
      </w:rPr>
    </w:lvl>
    <w:lvl w:ilvl="5" w:tplc="E6FE1D9E">
      <w:numFmt w:val="bullet"/>
      <w:lvlText w:val="•"/>
      <w:lvlJc w:val="left"/>
      <w:pPr>
        <w:ind w:left="5028" w:hanging="360"/>
      </w:pPr>
      <w:rPr>
        <w:rFonts w:hint="default"/>
        <w:lang w:val="en-US" w:eastAsia="en-US" w:bidi="ar-SA"/>
      </w:rPr>
    </w:lvl>
    <w:lvl w:ilvl="6" w:tplc="A62C5E08">
      <w:numFmt w:val="bullet"/>
      <w:lvlText w:val="•"/>
      <w:lvlJc w:val="left"/>
      <w:pPr>
        <w:ind w:left="5890" w:hanging="360"/>
      </w:pPr>
      <w:rPr>
        <w:rFonts w:hint="default"/>
        <w:lang w:val="en-US" w:eastAsia="en-US" w:bidi="ar-SA"/>
      </w:rPr>
    </w:lvl>
    <w:lvl w:ilvl="7" w:tplc="E200C2BE">
      <w:numFmt w:val="bullet"/>
      <w:lvlText w:val="•"/>
      <w:lvlJc w:val="left"/>
      <w:pPr>
        <w:ind w:left="6752" w:hanging="360"/>
      </w:pPr>
      <w:rPr>
        <w:rFonts w:hint="default"/>
        <w:lang w:val="en-US" w:eastAsia="en-US" w:bidi="ar-SA"/>
      </w:rPr>
    </w:lvl>
    <w:lvl w:ilvl="8" w:tplc="65666046">
      <w:numFmt w:val="bullet"/>
      <w:lvlText w:val="•"/>
      <w:lvlJc w:val="left"/>
      <w:pPr>
        <w:ind w:left="7614" w:hanging="360"/>
      </w:pPr>
      <w:rPr>
        <w:rFonts w:hint="default"/>
        <w:lang w:val="en-US" w:eastAsia="en-US" w:bidi="ar-SA"/>
      </w:rPr>
    </w:lvl>
  </w:abstractNum>
  <w:abstractNum w:abstractNumId="1" w15:restartNumberingAfterBreak="0">
    <w:nsid w:val="14B224C5"/>
    <w:multiLevelType w:val="hybridMultilevel"/>
    <w:tmpl w:val="8BB2CF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71386F"/>
    <w:multiLevelType w:val="hybridMultilevel"/>
    <w:tmpl w:val="7F542AC4"/>
    <w:lvl w:ilvl="0" w:tplc="080C000B">
      <w:start w:val="1"/>
      <w:numFmt w:val="bullet"/>
      <w:lvlText w:val=""/>
      <w:lvlJc w:val="left"/>
      <w:pPr>
        <w:ind w:left="630" w:hanging="360"/>
      </w:pPr>
      <w:rPr>
        <w:rFonts w:ascii="Wingdings" w:hAnsi="Wingdings" w:hint="default"/>
      </w:rPr>
    </w:lvl>
    <w:lvl w:ilvl="1" w:tplc="080C0003" w:tentative="1">
      <w:start w:val="1"/>
      <w:numFmt w:val="bullet"/>
      <w:lvlText w:val="o"/>
      <w:lvlJc w:val="left"/>
      <w:pPr>
        <w:ind w:left="1350" w:hanging="360"/>
      </w:pPr>
      <w:rPr>
        <w:rFonts w:ascii="Courier New" w:hAnsi="Courier New" w:cs="Courier New" w:hint="default"/>
      </w:rPr>
    </w:lvl>
    <w:lvl w:ilvl="2" w:tplc="080C0005" w:tentative="1">
      <w:start w:val="1"/>
      <w:numFmt w:val="bullet"/>
      <w:lvlText w:val=""/>
      <w:lvlJc w:val="left"/>
      <w:pPr>
        <w:ind w:left="2070" w:hanging="360"/>
      </w:pPr>
      <w:rPr>
        <w:rFonts w:ascii="Wingdings" w:hAnsi="Wingdings" w:hint="default"/>
      </w:rPr>
    </w:lvl>
    <w:lvl w:ilvl="3" w:tplc="080C0001" w:tentative="1">
      <w:start w:val="1"/>
      <w:numFmt w:val="bullet"/>
      <w:lvlText w:val=""/>
      <w:lvlJc w:val="left"/>
      <w:pPr>
        <w:ind w:left="2790" w:hanging="360"/>
      </w:pPr>
      <w:rPr>
        <w:rFonts w:ascii="Symbol" w:hAnsi="Symbol" w:hint="default"/>
      </w:rPr>
    </w:lvl>
    <w:lvl w:ilvl="4" w:tplc="080C0003" w:tentative="1">
      <w:start w:val="1"/>
      <w:numFmt w:val="bullet"/>
      <w:lvlText w:val="o"/>
      <w:lvlJc w:val="left"/>
      <w:pPr>
        <w:ind w:left="3510" w:hanging="360"/>
      </w:pPr>
      <w:rPr>
        <w:rFonts w:ascii="Courier New" w:hAnsi="Courier New" w:cs="Courier New" w:hint="default"/>
      </w:rPr>
    </w:lvl>
    <w:lvl w:ilvl="5" w:tplc="080C0005" w:tentative="1">
      <w:start w:val="1"/>
      <w:numFmt w:val="bullet"/>
      <w:lvlText w:val=""/>
      <w:lvlJc w:val="left"/>
      <w:pPr>
        <w:ind w:left="4230" w:hanging="360"/>
      </w:pPr>
      <w:rPr>
        <w:rFonts w:ascii="Wingdings" w:hAnsi="Wingdings" w:hint="default"/>
      </w:rPr>
    </w:lvl>
    <w:lvl w:ilvl="6" w:tplc="080C0001" w:tentative="1">
      <w:start w:val="1"/>
      <w:numFmt w:val="bullet"/>
      <w:lvlText w:val=""/>
      <w:lvlJc w:val="left"/>
      <w:pPr>
        <w:ind w:left="4950" w:hanging="360"/>
      </w:pPr>
      <w:rPr>
        <w:rFonts w:ascii="Symbol" w:hAnsi="Symbol" w:hint="default"/>
      </w:rPr>
    </w:lvl>
    <w:lvl w:ilvl="7" w:tplc="080C0003" w:tentative="1">
      <w:start w:val="1"/>
      <w:numFmt w:val="bullet"/>
      <w:lvlText w:val="o"/>
      <w:lvlJc w:val="left"/>
      <w:pPr>
        <w:ind w:left="5670" w:hanging="360"/>
      </w:pPr>
      <w:rPr>
        <w:rFonts w:ascii="Courier New" w:hAnsi="Courier New" w:cs="Courier New" w:hint="default"/>
      </w:rPr>
    </w:lvl>
    <w:lvl w:ilvl="8" w:tplc="080C0005" w:tentative="1">
      <w:start w:val="1"/>
      <w:numFmt w:val="bullet"/>
      <w:lvlText w:val=""/>
      <w:lvlJc w:val="left"/>
      <w:pPr>
        <w:ind w:left="6390" w:hanging="360"/>
      </w:pPr>
      <w:rPr>
        <w:rFonts w:ascii="Wingdings" w:hAnsi="Wingdings" w:hint="default"/>
      </w:rPr>
    </w:lvl>
  </w:abstractNum>
  <w:abstractNum w:abstractNumId="3" w15:restartNumberingAfterBreak="0">
    <w:nsid w:val="52426AD4"/>
    <w:multiLevelType w:val="hybridMultilevel"/>
    <w:tmpl w:val="16900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5136FE3"/>
    <w:multiLevelType w:val="hybridMultilevel"/>
    <w:tmpl w:val="0736FCEE"/>
    <w:lvl w:ilvl="0" w:tplc="040C000F">
      <w:start w:val="7"/>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55A319AF"/>
    <w:multiLevelType w:val="hybridMultilevel"/>
    <w:tmpl w:val="F26A8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629327A"/>
    <w:multiLevelType w:val="hybridMultilevel"/>
    <w:tmpl w:val="C18CA3C6"/>
    <w:lvl w:ilvl="0" w:tplc="9B86EA64">
      <w:start w:val="1"/>
      <w:numFmt w:val="upperRoman"/>
      <w:lvlText w:val="%1."/>
      <w:lvlJc w:val="left"/>
      <w:pPr>
        <w:ind w:left="2844" w:hanging="720"/>
      </w:pPr>
      <w:rPr>
        <w:rFonts w:hint="default"/>
      </w:rPr>
    </w:lvl>
    <w:lvl w:ilvl="1" w:tplc="080C0019" w:tentative="1">
      <w:start w:val="1"/>
      <w:numFmt w:val="lowerLetter"/>
      <w:lvlText w:val="%2."/>
      <w:lvlJc w:val="left"/>
      <w:pPr>
        <w:ind w:left="3204" w:hanging="360"/>
      </w:pPr>
    </w:lvl>
    <w:lvl w:ilvl="2" w:tplc="080C001B" w:tentative="1">
      <w:start w:val="1"/>
      <w:numFmt w:val="lowerRoman"/>
      <w:lvlText w:val="%3."/>
      <w:lvlJc w:val="right"/>
      <w:pPr>
        <w:ind w:left="3924" w:hanging="180"/>
      </w:pPr>
    </w:lvl>
    <w:lvl w:ilvl="3" w:tplc="080C000F" w:tentative="1">
      <w:start w:val="1"/>
      <w:numFmt w:val="decimal"/>
      <w:lvlText w:val="%4."/>
      <w:lvlJc w:val="left"/>
      <w:pPr>
        <w:ind w:left="4644" w:hanging="360"/>
      </w:pPr>
    </w:lvl>
    <w:lvl w:ilvl="4" w:tplc="080C0019" w:tentative="1">
      <w:start w:val="1"/>
      <w:numFmt w:val="lowerLetter"/>
      <w:lvlText w:val="%5."/>
      <w:lvlJc w:val="left"/>
      <w:pPr>
        <w:ind w:left="5364" w:hanging="360"/>
      </w:pPr>
    </w:lvl>
    <w:lvl w:ilvl="5" w:tplc="080C001B" w:tentative="1">
      <w:start w:val="1"/>
      <w:numFmt w:val="lowerRoman"/>
      <w:lvlText w:val="%6."/>
      <w:lvlJc w:val="right"/>
      <w:pPr>
        <w:ind w:left="6084" w:hanging="180"/>
      </w:pPr>
    </w:lvl>
    <w:lvl w:ilvl="6" w:tplc="080C000F" w:tentative="1">
      <w:start w:val="1"/>
      <w:numFmt w:val="decimal"/>
      <w:lvlText w:val="%7."/>
      <w:lvlJc w:val="left"/>
      <w:pPr>
        <w:ind w:left="6804" w:hanging="360"/>
      </w:pPr>
    </w:lvl>
    <w:lvl w:ilvl="7" w:tplc="080C0019" w:tentative="1">
      <w:start w:val="1"/>
      <w:numFmt w:val="lowerLetter"/>
      <w:lvlText w:val="%8."/>
      <w:lvlJc w:val="left"/>
      <w:pPr>
        <w:ind w:left="7524" w:hanging="360"/>
      </w:pPr>
    </w:lvl>
    <w:lvl w:ilvl="8" w:tplc="080C001B" w:tentative="1">
      <w:start w:val="1"/>
      <w:numFmt w:val="lowerRoman"/>
      <w:lvlText w:val="%9."/>
      <w:lvlJc w:val="right"/>
      <w:pPr>
        <w:ind w:left="8244" w:hanging="180"/>
      </w:pPr>
    </w:lvl>
  </w:abstractNum>
  <w:abstractNum w:abstractNumId="7" w15:restartNumberingAfterBreak="0">
    <w:nsid w:val="63D66480"/>
    <w:multiLevelType w:val="hybridMultilevel"/>
    <w:tmpl w:val="3C5012E0"/>
    <w:lvl w:ilvl="0" w:tplc="040C000F">
      <w:start w:val="1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66686066"/>
    <w:multiLevelType w:val="hybridMultilevel"/>
    <w:tmpl w:val="540236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046DDE"/>
    <w:multiLevelType w:val="hybridMultilevel"/>
    <w:tmpl w:val="7246484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F381198"/>
    <w:multiLevelType w:val="hybridMultilevel"/>
    <w:tmpl w:val="58FC22E6"/>
    <w:lvl w:ilvl="0" w:tplc="0DFE1564">
      <w:start w:val="1"/>
      <w:numFmt w:val="upperLetter"/>
      <w:lvlText w:val="%1."/>
      <w:lvlJc w:val="left"/>
      <w:pPr>
        <w:ind w:left="544" w:hanging="428"/>
      </w:pPr>
      <w:rPr>
        <w:rFonts w:ascii="Carlito" w:eastAsia="Carlito" w:hAnsi="Carlito" w:cs="Carlito" w:hint="default"/>
        <w:b/>
        <w:bCs/>
        <w:i/>
        <w:w w:val="100"/>
        <w:sz w:val="22"/>
        <w:szCs w:val="22"/>
        <w:lang w:val="en-US" w:eastAsia="en-US" w:bidi="ar-SA"/>
      </w:rPr>
    </w:lvl>
    <w:lvl w:ilvl="1" w:tplc="0AB072B8">
      <w:start w:val="1"/>
      <w:numFmt w:val="decimal"/>
      <w:lvlText w:val="%2."/>
      <w:lvlJc w:val="left"/>
      <w:pPr>
        <w:ind w:left="1216" w:hanging="361"/>
      </w:pPr>
      <w:rPr>
        <w:rFonts w:ascii="Carlito" w:eastAsia="Carlito" w:hAnsi="Carlito" w:cs="Carlito" w:hint="default"/>
        <w:i/>
        <w:w w:val="100"/>
        <w:sz w:val="22"/>
        <w:szCs w:val="22"/>
        <w:lang w:val="en-US" w:eastAsia="en-US" w:bidi="ar-SA"/>
      </w:rPr>
    </w:lvl>
    <w:lvl w:ilvl="2" w:tplc="8F3A0722">
      <w:numFmt w:val="bullet"/>
      <w:lvlText w:val="•"/>
      <w:lvlJc w:val="left"/>
      <w:pPr>
        <w:ind w:left="2122" w:hanging="361"/>
      </w:pPr>
      <w:rPr>
        <w:rFonts w:hint="default"/>
        <w:lang w:val="en-US" w:eastAsia="en-US" w:bidi="ar-SA"/>
      </w:rPr>
    </w:lvl>
    <w:lvl w:ilvl="3" w:tplc="1480F00E">
      <w:numFmt w:val="bullet"/>
      <w:lvlText w:val="•"/>
      <w:lvlJc w:val="left"/>
      <w:pPr>
        <w:ind w:left="3024" w:hanging="361"/>
      </w:pPr>
      <w:rPr>
        <w:rFonts w:hint="default"/>
        <w:lang w:val="en-US" w:eastAsia="en-US" w:bidi="ar-SA"/>
      </w:rPr>
    </w:lvl>
    <w:lvl w:ilvl="4" w:tplc="E384BA4E">
      <w:numFmt w:val="bullet"/>
      <w:lvlText w:val="•"/>
      <w:lvlJc w:val="left"/>
      <w:pPr>
        <w:ind w:left="3926" w:hanging="361"/>
      </w:pPr>
      <w:rPr>
        <w:rFonts w:hint="default"/>
        <w:lang w:val="en-US" w:eastAsia="en-US" w:bidi="ar-SA"/>
      </w:rPr>
    </w:lvl>
    <w:lvl w:ilvl="5" w:tplc="C136F13C">
      <w:numFmt w:val="bullet"/>
      <w:lvlText w:val="•"/>
      <w:lvlJc w:val="left"/>
      <w:pPr>
        <w:ind w:left="4828" w:hanging="361"/>
      </w:pPr>
      <w:rPr>
        <w:rFonts w:hint="default"/>
        <w:lang w:val="en-US" w:eastAsia="en-US" w:bidi="ar-SA"/>
      </w:rPr>
    </w:lvl>
    <w:lvl w:ilvl="6" w:tplc="2F66E3D4">
      <w:numFmt w:val="bullet"/>
      <w:lvlText w:val="•"/>
      <w:lvlJc w:val="left"/>
      <w:pPr>
        <w:ind w:left="5730" w:hanging="361"/>
      </w:pPr>
      <w:rPr>
        <w:rFonts w:hint="default"/>
        <w:lang w:val="en-US" w:eastAsia="en-US" w:bidi="ar-SA"/>
      </w:rPr>
    </w:lvl>
    <w:lvl w:ilvl="7" w:tplc="E8E066A4">
      <w:numFmt w:val="bullet"/>
      <w:lvlText w:val="•"/>
      <w:lvlJc w:val="left"/>
      <w:pPr>
        <w:ind w:left="6632" w:hanging="361"/>
      </w:pPr>
      <w:rPr>
        <w:rFonts w:hint="default"/>
        <w:lang w:val="en-US" w:eastAsia="en-US" w:bidi="ar-SA"/>
      </w:rPr>
    </w:lvl>
    <w:lvl w:ilvl="8" w:tplc="319A7012">
      <w:numFmt w:val="bullet"/>
      <w:lvlText w:val="•"/>
      <w:lvlJc w:val="left"/>
      <w:pPr>
        <w:ind w:left="7534" w:hanging="361"/>
      </w:pPr>
      <w:rPr>
        <w:rFonts w:hint="default"/>
        <w:lang w:val="en-US" w:eastAsia="en-US" w:bidi="ar-SA"/>
      </w:rPr>
    </w:lvl>
  </w:abstractNum>
  <w:abstractNum w:abstractNumId="11" w15:restartNumberingAfterBreak="0">
    <w:nsid w:val="6FE8771B"/>
    <w:multiLevelType w:val="hybridMultilevel"/>
    <w:tmpl w:val="C7409BE2"/>
    <w:lvl w:ilvl="0" w:tplc="2E90BA4E">
      <w:start w:val="1"/>
      <w:numFmt w:val="upperRoman"/>
      <w:lvlText w:val="%1."/>
      <w:lvlJc w:val="left"/>
      <w:pPr>
        <w:ind w:left="1080" w:hanging="72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6"/>
  </w:num>
  <w:num w:numId="2">
    <w:abstractNumId w:val="11"/>
  </w:num>
  <w:num w:numId="3">
    <w:abstractNumId w:val="2"/>
  </w:num>
  <w:num w:numId="4">
    <w:abstractNumId w:val="1"/>
  </w:num>
  <w:num w:numId="5">
    <w:abstractNumId w:val="3"/>
  </w:num>
  <w:num w:numId="6">
    <w:abstractNumId w:val="5"/>
  </w:num>
  <w:num w:numId="7">
    <w:abstractNumId w:val="9"/>
  </w:num>
  <w:num w:numId="8">
    <w:abstractNumId w:val="8"/>
  </w:num>
  <w:num w:numId="9">
    <w:abstractNumId w:val="10"/>
  </w:num>
  <w:num w:numId="10">
    <w:abstractNumId w:val="4"/>
  </w:num>
  <w:num w:numId="11">
    <w:abstractNumId w:val="0"/>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AU"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6" w:nlCheck="1" w:checkStyle="0"/>
  <w:activeWritingStyle w:appName="MSWord" w:lang="fr-FR"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0"/>
  <w:activeWritingStyle w:appName="MSWord" w:lang="fr-BE" w:vendorID="64" w:dllVersion="131078" w:nlCheck="1" w:checkStyle="0"/>
  <w:activeWritingStyle w:appName="MSWord" w:lang="fr-FR" w:vendorID="64" w:dllVersion="131078" w:nlCheck="1" w:checkStyle="0"/>
  <w:proofState w:spelling="clean" w:grammar="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79B"/>
    <w:rsid w:val="0002213A"/>
    <w:rsid w:val="00024911"/>
    <w:rsid w:val="000334CA"/>
    <w:rsid w:val="000555C4"/>
    <w:rsid w:val="00094650"/>
    <w:rsid w:val="000B034D"/>
    <w:rsid w:val="000D06BF"/>
    <w:rsid w:val="000E3E0A"/>
    <w:rsid w:val="000E4ACA"/>
    <w:rsid w:val="000E4D1E"/>
    <w:rsid w:val="000E58CC"/>
    <w:rsid w:val="000F7447"/>
    <w:rsid w:val="000F74F4"/>
    <w:rsid w:val="00102288"/>
    <w:rsid w:val="00120AE3"/>
    <w:rsid w:val="00125B2C"/>
    <w:rsid w:val="00137F92"/>
    <w:rsid w:val="00144770"/>
    <w:rsid w:val="00147BF9"/>
    <w:rsid w:val="0015004A"/>
    <w:rsid w:val="00152098"/>
    <w:rsid w:val="00165AFF"/>
    <w:rsid w:val="001868E0"/>
    <w:rsid w:val="00195595"/>
    <w:rsid w:val="001A17C6"/>
    <w:rsid w:val="001B7CA2"/>
    <w:rsid w:val="001C79A2"/>
    <w:rsid w:val="001C7CCF"/>
    <w:rsid w:val="001E08DC"/>
    <w:rsid w:val="001E0C79"/>
    <w:rsid w:val="001E2105"/>
    <w:rsid w:val="002057FA"/>
    <w:rsid w:val="00206A47"/>
    <w:rsid w:val="00221C79"/>
    <w:rsid w:val="00231F28"/>
    <w:rsid w:val="00235A91"/>
    <w:rsid w:val="002430D2"/>
    <w:rsid w:val="0024664D"/>
    <w:rsid w:val="00251082"/>
    <w:rsid w:val="00252C8E"/>
    <w:rsid w:val="002668EA"/>
    <w:rsid w:val="00275AE3"/>
    <w:rsid w:val="00293C29"/>
    <w:rsid w:val="00294805"/>
    <w:rsid w:val="002953FF"/>
    <w:rsid w:val="002969C5"/>
    <w:rsid w:val="002C15AB"/>
    <w:rsid w:val="002C3ADB"/>
    <w:rsid w:val="002C4AD7"/>
    <w:rsid w:val="002D45D1"/>
    <w:rsid w:val="0030165D"/>
    <w:rsid w:val="00334386"/>
    <w:rsid w:val="003619BB"/>
    <w:rsid w:val="00364DD8"/>
    <w:rsid w:val="00383787"/>
    <w:rsid w:val="003843E1"/>
    <w:rsid w:val="0038485A"/>
    <w:rsid w:val="003B4F07"/>
    <w:rsid w:val="003D7999"/>
    <w:rsid w:val="003F19B1"/>
    <w:rsid w:val="00405880"/>
    <w:rsid w:val="0044152B"/>
    <w:rsid w:val="00445679"/>
    <w:rsid w:val="00447DF5"/>
    <w:rsid w:val="00451BE5"/>
    <w:rsid w:val="00462100"/>
    <w:rsid w:val="004809CC"/>
    <w:rsid w:val="00491A44"/>
    <w:rsid w:val="004A0573"/>
    <w:rsid w:val="004A4D25"/>
    <w:rsid w:val="004B26B9"/>
    <w:rsid w:val="004B60DD"/>
    <w:rsid w:val="004C0B1F"/>
    <w:rsid w:val="004E2A0C"/>
    <w:rsid w:val="004E2D35"/>
    <w:rsid w:val="004E5D2F"/>
    <w:rsid w:val="004F0EE1"/>
    <w:rsid w:val="005078D2"/>
    <w:rsid w:val="00514447"/>
    <w:rsid w:val="00561741"/>
    <w:rsid w:val="00564A5D"/>
    <w:rsid w:val="00572CAC"/>
    <w:rsid w:val="00572D29"/>
    <w:rsid w:val="00576122"/>
    <w:rsid w:val="00592F7B"/>
    <w:rsid w:val="005936DA"/>
    <w:rsid w:val="00595A34"/>
    <w:rsid w:val="005A53B1"/>
    <w:rsid w:val="005C4199"/>
    <w:rsid w:val="00600F16"/>
    <w:rsid w:val="0061181D"/>
    <w:rsid w:val="00621476"/>
    <w:rsid w:val="00633DEB"/>
    <w:rsid w:val="0064596A"/>
    <w:rsid w:val="00656276"/>
    <w:rsid w:val="006614B5"/>
    <w:rsid w:val="0066480F"/>
    <w:rsid w:val="00694C36"/>
    <w:rsid w:val="006A0353"/>
    <w:rsid w:val="006B2EEF"/>
    <w:rsid w:val="006F10BF"/>
    <w:rsid w:val="00726393"/>
    <w:rsid w:val="0074007C"/>
    <w:rsid w:val="007467E2"/>
    <w:rsid w:val="00753FA0"/>
    <w:rsid w:val="00757085"/>
    <w:rsid w:val="0079724B"/>
    <w:rsid w:val="007D25A7"/>
    <w:rsid w:val="007D7490"/>
    <w:rsid w:val="007E2957"/>
    <w:rsid w:val="007F1F30"/>
    <w:rsid w:val="007F529E"/>
    <w:rsid w:val="0080379C"/>
    <w:rsid w:val="00812CA6"/>
    <w:rsid w:val="00815599"/>
    <w:rsid w:val="00820269"/>
    <w:rsid w:val="00824724"/>
    <w:rsid w:val="0083739F"/>
    <w:rsid w:val="008526FE"/>
    <w:rsid w:val="008628EF"/>
    <w:rsid w:val="00867498"/>
    <w:rsid w:val="00867CBB"/>
    <w:rsid w:val="0088139C"/>
    <w:rsid w:val="008A1B74"/>
    <w:rsid w:val="008A7229"/>
    <w:rsid w:val="008B50CB"/>
    <w:rsid w:val="008B5DE9"/>
    <w:rsid w:val="008C4411"/>
    <w:rsid w:val="008C7A94"/>
    <w:rsid w:val="008D7F8C"/>
    <w:rsid w:val="008E4FD7"/>
    <w:rsid w:val="008E537C"/>
    <w:rsid w:val="008F5F0F"/>
    <w:rsid w:val="008F689A"/>
    <w:rsid w:val="00916B8E"/>
    <w:rsid w:val="00923EBE"/>
    <w:rsid w:val="0093358F"/>
    <w:rsid w:val="009441AD"/>
    <w:rsid w:val="00951DEB"/>
    <w:rsid w:val="00962913"/>
    <w:rsid w:val="0096772C"/>
    <w:rsid w:val="00991323"/>
    <w:rsid w:val="00997215"/>
    <w:rsid w:val="009C040C"/>
    <w:rsid w:val="009C6B9F"/>
    <w:rsid w:val="009D1508"/>
    <w:rsid w:val="009E48E9"/>
    <w:rsid w:val="00A04840"/>
    <w:rsid w:val="00A1060B"/>
    <w:rsid w:val="00A10A1E"/>
    <w:rsid w:val="00A118BB"/>
    <w:rsid w:val="00A2011E"/>
    <w:rsid w:val="00A33884"/>
    <w:rsid w:val="00A8576F"/>
    <w:rsid w:val="00A95DE7"/>
    <w:rsid w:val="00AB39DD"/>
    <w:rsid w:val="00AB4073"/>
    <w:rsid w:val="00AB6BD8"/>
    <w:rsid w:val="00AD14BD"/>
    <w:rsid w:val="00AD5BC2"/>
    <w:rsid w:val="00AE13F5"/>
    <w:rsid w:val="00AF33F6"/>
    <w:rsid w:val="00AF4734"/>
    <w:rsid w:val="00AF6778"/>
    <w:rsid w:val="00B06121"/>
    <w:rsid w:val="00B1077E"/>
    <w:rsid w:val="00B3376B"/>
    <w:rsid w:val="00B4482C"/>
    <w:rsid w:val="00B53656"/>
    <w:rsid w:val="00B54E3F"/>
    <w:rsid w:val="00B669A0"/>
    <w:rsid w:val="00B751AA"/>
    <w:rsid w:val="00B837B5"/>
    <w:rsid w:val="00B8626C"/>
    <w:rsid w:val="00B92E78"/>
    <w:rsid w:val="00B94426"/>
    <w:rsid w:val="00BB67D7"/>
    <w:rsid w:val="00BC1D9A"/>
    <w:rsid w:val="00BC5F8D"/>
    <w:rsid w:val="00BF199A"/>
    <w:rsid w:val="00C206C5"/>
    <w:rsid w:val="00C21B69"/>
    <w:rsid w:val="00C25048"/>
    <w:rsid w:val="00C34944"/>
    <w:rsid w:val="00C357C2"/>
    <w:rsid w:val="00C46DCD"/>
    <w:rsid w:val="00C5007B"/>
    <w:rsid w:val="00C55193"/>
    <w:rsid w:val="00C91D1B"/>
    <w:rsid w:val="00CB73BB"/>
    <w:rsid w:val="00CC6B37"/>
    <w:rsid w:val="00CD1815"/>
    <w:rsid w:val="00CD7A88"/>
    <w:rsid w:val="00CE4C75"/>
    <w:rsid w:val="00CF698C"/>
    <w:rsid w:val="00D002BC"/>
    <w:rsid w:val="00D027D9"/>
    <w:rsid w:val="00D17788"/>
    <w:rsid w:val="00D213F6"/>
    <w:rsid w:val="00D6657B"/>
    <w:rsid w:val="00D76481"/>
    <w:rsid w:val="00D776C3"/>
    <w:rsid w:val="00D848D8"/>
    <w:rsid w:val="00D87626"/>
    <w:rsid w:val="00D90E3E"/>
    <w:rsid w:val="00DA2342"/>
    <w:rsid w:val="00DC04CC"/>
    <w:rsid w:val="00DC2228"/>
    <w:rsid w:val="00DC36E4"/>
    <w:rsid w:val="00DC49B7"/>
    <w:rsid w:val="00DC5B32"/>
    <w:rsid w:val="00DD1A75"/>
    <w:rsid w:val="00DD51BC"/>
    <w:rsid w:val="00DE2240"/>
    <w:rsid w:val="00DF181A"/>
    <w:rsid w:val="00E14E2A"/>
    <w:rsid w:val="00E33076"/>
    <w:rsid w:val="00E70E81"/>
    <w:rsid w:val="00E7390A"/>
    <w:rsid w:val="00E7579B"/>
    <w:rsid w:val="00E75F98"/>
    <w:rsid w:val="00E85BC4"/>
    <w:rsid w:val="00E87A2E"/>
    <w:rsid w:val="00E92C99"/>
    <w:rsid w:val="00E943EC"/>
    <w:rsid w:val="00EA5201"/>
    <w:rsid w:val="00EB0581"/>
    <w:rsid w:val="00ED5335"/>
    <w:rsid w:val="00ED7A10"/>
    <w:rsid w:val="00EE6A52"/>
    <w:rsid w:val="00EF2BDF"/>
    <w:rsid w:val="00EF36D6"/>
    <w:rsid w:val="00EF4DF8"/>
    <w:rsid w:val="00F302ED"/>
    <w:rsid w:val="00F464F2"/>
    <w:rsid w:val="00F7351E"/>
    <w:rsid w:val="00F767DF"/>
    <w:rsid w:val="00F7725E"/>
    <w:rsid w:val="00FE1807"/>
    <w:rsid w:val="00FF410C"/>
    <w:rsid w:val="00FF5A3B"/>
  </w:rsids>
  <m:mathPr>
    <m:mathFont m:val="Cambria Math"/>
    <m:brkBin m:val="before"/>
    <m:brkBinSub m:val="--"/>
    <m:smallFrac m:val="0"/>
    <m:dispDef/>
    <m:lMargin m:val="0"/>
    <m:rMargin m:val="0"/>
    <m:defJc m:val="centerGroup"/>
    <m:wrapIndent m:val="1440"/>
    <m:intLim m:val="subSup"/>
    <m:naryLim m:val="undOvr"/>
  </m:mathPr>
  <w:themeFontLang w:val="fr-BE"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C06DA"/>
  <w15:chartTrackingRefBased/>
  <w15:docId w15:val="{C68F1EC3-8FFB-4F2F-ABA3-12EB3CEFA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C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579B"/>
    <w:pPr>
      <w:ind w:left="720"/>
      <w:contextualSpacing/>
    </w:pPr>
  </w:style>
  <w:style w:type="character" w:styleId="Hyperlink">
    <w:name w:val="Hyperlink"/>
    <w:basedOn w:val="DefaultParagraphFont"/>
    <w:uiPriority w:val="99"/>
    <w:unhideWhenUsed/>
    <w:rsid w:val="004809CC"/>
    <w:rPr>
      <w:color w:val="0563C1" w:themeColor="hyperlink"/>
      <w:u w:val="single"/>
    </w:rPr>
  </w:style>
  <w:style w:type="character" w:customStyle="1" w:styleId="UnresolvedMention1">
    <w:name w:val="Unresolved Mention1"/>
    <w:basedOn w:val="DefaultParagraphFont"/>
    <w:uiPriority w:val="99"/>
    <w:semiHidden/>
    <w:unhideWhenUsed/>
    <w:rsid w:val="004809CC"/>
    <w:rPr>
      <w:color w:val="605E5C"/>
      <w:shd w:val="clear" w:color="auto" w:fill="E1DFDD"/>
    </w:rPr>
  </w:style>
  <w:style w:type="paragraph" w:styleId="FootnoteText">
    <w:name w:val="footnote text"/>
    <w:basedOn w:val="Normal"/>
    <w:link w:val="FootnoteTextChar"/>
    <w:uiPriority w:val="99"/>
    <w:semiHidden/>
    <w:unhideWhenUsed/>
    <w:rsid w:val="00AB6BD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B6BD8"/>
    <w:rPr>
      <w:sz w:val="20"/>
      <w:szCs w:val="20"/>
    </w:rPr>
  </w:style>
  <w:style w:type="character" w:styleId="FootnoteReference">
    <w:name w:val="footnote reference"/>
    <w:basedOn w:val="DefaultParagraphFont"/>
    <w:uiPriority w:val="99"/>
    <w:semiHidden/>
    <w:unhideWhenUsed/>
    <w:rsid w:val="00AB6BD8"/>
    <w:rPr>
      <w:vertAlign w:val="superscript"/>
    </w:rPr>
  </w:style>
  <w:style w:type="paragraph" w:styleId="EndnoteText">
    <w:name w:val="endnote text"/>
    <w:basedOn w:val="Normal"/>
    <w:link w:val="EndnoteTextChar"/>
    <w:uiPriority w:val="99"/>
    <w:unhideWhenUsed/>
    <w:rsid w:val="000F74F4"/>
    <w:pPr>
      <w:spacing w:after="0" w:line="240" w:lineRule="auto"/>
    </w:pPr>
    <w:rPr>
      <w:sz w:val="20"/>
      <w:szCs w:val="20"/>
    </w:rPr>
  </w:style>
  <w:style w:type="character" w:customStyle="1" w:styleId="EndnoteTextChar">
    <w:name w:val="Endnote Text Char"/>
    <w:basedOn w:val="DefaultParagraphFont"/>
    <w:link w:val="EndnoteText"/>
    <w:uiPriority w:val="99"/>
    <w:rsid w:val="000F74F4"/>
    <w:rPr>
      <w:sz w:val="20"/>
      <w:szCs w:val="20"/>
    </w:rPr>
  </w:style>
  <w:style w:type="character" w:styleId="EndnoteReference">
    <w:name w:val="endnote reference"/>
    <w:basedOn w:val="DefaultParagraphFont"/>
    <w:uiPriority w:val="99"/>
    <w:semiHidden/>
    <w:unhideWhenUsed/>
    <w:rsid w:val="000F74F4"/>
    <w:rPr>
      <w:vertAlign w:val="superscript"/>
    </w:rPr>
  </w:style>
  <w:style w:type="paragraph" w:styleId="Header">
    <w:name w:val="header"/>
    <w:aliases w:val="6_G"/>
    <w:basedOn w:val="Normal"/>
    <w:link w:val="HeaderChar"/>
    <w:unhideWhenUsed/>
    <w:rsid w:val="00997215"/>
    <w:pPr>
      <w:tabs>
        <w:tab w:val="center" w:pos="4536"/>
        <w:tab w:val="right" w:pos="9072"/>
      </w:tabs>
      <w:spacing w:after="0" w:line="240" w:lineRule="auto"/>
    </w:pPr>
  </w:style>
  <w:style w:type="character" w:customStyle="1" w:styleId="HeaderChar">
    <w:name w:val="Header Char"/>
    <w:aliases w:val="6_G Char"/>
    <w:basedOn w:val="DefaultParagraphFont"/>
    <w:link w:val="Header"/>
    <w:rsid w:val="00997215"/>
  </w:style>
  <w:style w:type="paragraph" w:styleId="Footer">
    <w:name w:val="footer"/>
    <w:basedOn w:val="Normal"/>
    <w:link w:val="FooterChar"/>
    <w:uiPriority w:val="99"/>
    <w:unhideWhenUsed/>
    <w:rsid w:val="00997215"/>
    <w:pPr>
      <w:tabs>
        <w:tab w:val="center" w:pos="4536"/>
        <w:tab w:val="right" w:pos="9072"/>
      </w:tabs>
      <w:spacing w:after="0" w:line="240" w:lineRule="auto"/>
    </w:pPr>
  </w:style>
  <w:style w:type="character" w:customStyle="1" w:styleId="FooterChar">
    <w:name w:val="Footer Char"/>
    <w:basedOn w:val="DefaultParagraphFont"/>
    <w:link w:val="Footer"/>
    <w:uiPriority w:val="99"/>
    <w:rsid w:val="00997215"/>
  </w:style>
  <w:style w:type="character" w:styleId="FollowedHyperlink">
    <w:name w:val="FollowedHyperlink"/>
    <w:basedOn w:val="DefaultParagraphFont"/>
    <w:uiPriority w:val="99"/>
    <w:semiHidden/>
    <w:unhideWhenUsed/>
    <w:rsid w:val="008A1B74"/>
    <w:rPr>
      <w:color w:val="954F72" w:themeColor="followedHyperlink"/>
      <w:u w:val="single"/>
    </w:rPr>
  </w:style>
  <w:style w:type="paragraph" w:styleId="NormalWeb">
    <w:name w:val="Normal (Web)"/>
    <w:basedOn w:val="Normal"/>
    <w:uiPriority w:val="99"/>
    <w:unhideWhenUsed/>
    <w:rsid w:val="00CC6B37"/>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CommentReference">
    <w:name w:val="annotation reference"/>
    <w:basedOn w:val="DefaultParagraphFont"/>
    <w:uiPriority w:val="99"/>
    <w:semiHidden/>
    <w:unhideWhenUsed/>
    <w:rsid w:val="00815599"/>
    <w:rPr>
      <w:sz w:val="16"/>
      <w:szCs w:val="16"/>
    </w:rPr>
  </w:style>
  <w:style w:type="paragraph" w:styleId="CommentText">
    <w:name w:val="annotation text"/>
    <w:basedOn w:val="Normal"/>
    <w:link w:val="CommentTextChar"/>
    <w:uiPriority w:val="99"/>
    <w:unhideWhenUsed/>
    <w:rsid w:val="00815599"/>
    <w:pPr>
      <w:spacing w:line="240" w:lineRule="auto"/>
    </w:pPr>
    <w:rPr>
      <w:sz w:val="20"/>
      <w:szCs w:val="20"/>
    </w:rPr>
  </w:style>
  <w:style w:type="character" w:customStyle="1" w:styleId="CommentTextChar">
    <w:name w:val="Comment Text Char"/>
    <w:basedOn w:val="DefaultParagraphFont"/>
    <w:link w:val="CommentText"/>
    <w:uiPriority w:val="99"/>
    <w:rsid w:val="00815599"/>
    <w:rPr>
      <w:sz w:val="20"/>
      <w:szCs w:val="20"/>
    </w:rPr>
  </w:style>
  <w:style w:type="paragraph" w:styleId="CommentSubject">
    <w:name w:val="annotation subject"/>
    <w:basedOn w:val="CommentText"/>
    <w:next w:val="CommentText"/>
    <w:link w:val="CommentSubjectChar"/>
    <w:uiPriority w:val="99"/>
    <w:semiHidden/>
    <w:unhideWhenUsed/>
    <w:rsid w:val="00815599"/>
    <w:rPr>
      <w:b/>
      <w:bCs/>
    </w:rPr>
  </w:style>
  <w:style w:type="character" w:customStyle="1" w:styleId="CommentSubjectChar">
    <w:name w:val="Comment Subject Char"/>
    <w:basedOn w:val="CommentTextChar"/>
    <w:link w:val="CommentSubject"/>
    <w:uiPriority w:val="99"/>
    <w:semiHidden/>
    <w:rsid w:val="00815599"/>
    <w:rPr>
      <w:b/>
      <w:bCs/>
      <w:sz w:val="20"/>
      <w:szCs w:val="20"/>
    </w:rPr>
  </w:style>
  <w:style w:type="paragraph" w:styleId="BalloonText">
    <w:name w:val="Balloon Text"/>
    <w:basedOn w:val="Normal"/>
    <w:link w:val="BalloonTextChar"/>
    <w:uiPriority w:val="99"/>
    <w:semiHidden/>
    <w:unhideWhenUsed/>
    <w:rsid w:val="0081559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5599"/>
    <w:rPr>
      <w:rFonts w:ascii="Segoe UI" w:hAnsi="Segoe UI" w:cs="Segoe UI"/>
      <w:sz w:val="18"/>
      <w:szCs w:val="18"/>
    </w:rPr>
  </w:style>
  <w:style w:type="character" w:styleId="Strong">
    <w:name w:val="Strong"/>
    <w:basedOn w:val="DefaultParagraphFont"/>
    <w:uiPriority w:val="22"/>
    <w:qFormat/>
    <w:rsid w:val="00EA5201"/>
    <w:rPr>
      <w:b/>
      <w:bCs/>
    </w:rPr>
  </w:style>
  <w:style w:type="character" w:customStyle="1" w:styleId="highlight">
    <w:name w:val="highlight"/>
    <w:basedOn w:val="DefaultParagraphFont"/>
    <w:rsid w:val="00B06121"/>
  </w:style>
  <w:style w:type="character" w:customStyle="1" w:styleId="lblnewsfulltext">
    <w:name w:val="lblnewsfulltext"/>
    <w:basedOn w:val="DefaultParagraphFont"/>
    <w:rsid w:val="00252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399128">
      <w:bodyDiv w:val="1"/>
      <w:marLeft w:val="0"/>
      <w:marRight w:val="0"/>
      <w:marTop w:val="0"/>
      <w:marBottom w:val="0"/>
      <w:divBdr>
        <w:top w:val="none" w:sz="0" w:space="0" w:color="auto"/>
        <w:left w:val="none" w:sz="0" w:space="0" w:color="auto"/>
        <w:bottom w:val="none" w:sz="0" w:space="0" w:color="auto"/>
        <w:right w:val="none" w:sz="0" w:space="0" w:color="auto"/>
      </w:divBdr>
    </w:div>
    <w:div w:id="227153055">
      <w:bodyDiv w:val="1"/>
      <w:marLeft w:val="0"/>
      <w:marRight w:val="0"/>
      <w:marTop w:val="0"/>
      <w:marBottom w:val="0"/>
      <w:divBdr>
        <w:top w:val="none" w:sz="0" w:space="0" w:color="auto"/>
        <w:left w:val="none" w:sz="0" w:space="0" w:color="auto"/>
        <w:bottom w:val="none" w:sz="0" w:space="0" w:color="auto"/>
        <w:right w:val="none" w:sz="0" w:space="0" w:color="auto"/>
      </w:divBdr>
    </w:div>
    <w:div w:id="431096799">
      <w:bodyDiv w:val="1"/>
      <w:marLeft w:val="0"/>
      <w:marRight w:val="0"/>
      <w:marTop w:val="0"/>
      <w:marBottom w:val="0"/>
      <w:divBdr>
        <w:top w:val="none" w:sz="0" w:space="0" w:color="auto"/>
        <w:left w:val="none" w:sz="0" w:space="0" w:color="auto"/>
        <w:bottom w:val="none" w:sz="0" w:space="0" w:color="auto"/>
        <w:right w:val="none" w:sz="0" w:space="0" w:color="auto"/>
      </w:divBdr>
    </w:div>
    <w:div w:id="572281851">
      <w:bodyDiv w:val="1"/>
      <w:marLeft w:val="0"/>
      <w:marRight w:val="0"/>
      <w:marTop w:val="0"/>
      <w:marBottom w:val="0"/>
      <w:divBdr>
        <w:top w:val="none" w:sz="0" w:space="0" w:color="auto"/>
        <w:left w:val="none" w:sz="0" w:space="0" w:color="auto"/>
        <w:bottom w:val="none" w:sz="0" w:space="0" w:color="auto"/>
        <w:right w:val="none" w:sz="0" w:space="0" w:color="auto"/>
      </w:divBdr>
    </w:div>
    <w:div w:id="606960067">
      <w:bodyDiv w:val="1"/>
      <w:marLeft w:val="0"/>
      <w:marRight w:val="0"/>
      <w:marTop w:val="0"/>
      <w:marBottom w:val="0"/>
      <w:divBdr>
        <w:top w:val="none" w:sz="0" w:space="0" w:color="auto"/>
        <w:left w:val="none" w:sz="0" w:space="0" w:color="auto"/>
        <w:bottom w:val="none" w:sz="0" w:space="0" w:color="auto"/>
        <w:right w:val="none" w:sz="0" w:space="0" w:color="auto"/>
      </w:divBdr>
    </w:div>
    <w:div w:id="743644171">
      <w:bodyDiv w:val="1"/>
      <w:marLeft w:val="0"/>
      <w:marRight w:val="0"/>
      <w:marTop w:val="0"/>
      <w:marBottom w:val="0"/>
      <w:divBdr>
        <w:top w:val="none" w:sz="0" w:space="0" w:color="auto"/>
        <w:left w:val="none" w:sz="0" w:space="0" w:color="auto"/>
        <w:bottom w:val="none" w:sz="0" w:space="0" w:color="auto"/>
        <w:right w:val="none" w:sz="0" w:space="0" w:color="auto"/>
      </w:divBdr>
    </w:div>
    <w:div w:id="1201548804">
      <w:bodyDiv w:val="1"/>
      <w:marLeft w:val="0"/>
      <w:marRight w:val="0"/>
      <w:marTop w:val="0"/>
      <w:marBottom w:val="0"/>
      <w:divBdr>
        <w:top w:val="none" w:sz="0" w:space="0" w:color="auto"/>
        <w:left w:val="none" w:sz="0" w:space="0" w:color="auto"/>
        <w:bottom w:val="none" w:sz="0" w:space="0" w:color="auto"/>
        <w:right w:val="none" w:sz="0" w:space="0" w:color="auto"/>
      </w:divBdr>
    </w:div>
    <w:div w:id="1379091585">
      <w:bodyDiv w:val="1"/>
      <w:marLeft w:val="0"/>
      <w:marRight w:val="0"/>
      <w:marTop w:val="0"/>
      <w:marBottom w:val="0"/>
      <w:divBdr>
        <w:top w:val="none" w:sz="0" w:space="0" w:color="auto"/>
        <w:left w:val="none" w:sz="0" w:space="0" w:color="auto"/>
        <w:bottom w:val="none" w:sz="0" w:space="0" w:color="auto"/>
        <w:right w:val="none" w:sz="0" w:space="0" w:color="auto"/>
      </w:divBdr>
    </w:div>
    <w:div w:id="1458137479">
      <w:bodyDiv w:val="1"/>
      <w:marLeft w:val="0"/>
      <w:marRight w:val="0"/>
      <w:marTop w:val="0"/>
      <w:marBottom w:val="0"/>
      <w:divBdr>
        <w:top w:val="none" w:sz="0" w:space="0" w:color="auto"/>
        <w:left w:val="none" w:sz="0" w:space="0" w:color="auto"/>
        <w:bottom w:val="none" w:sz="0" w:space="0" w:color="auto"/>
        <w:right w:val="none" w:sz="0" w:space="0" w:color="auto"/>
      </w:divBdr>
      <w:divsChild>
        <w:div w:id="106119435">
          <w:marLeft w:val="0"/>
          <w:marRight w:val="0"/>
          <w:marTop w:val="0"/>
          <w:marBottom w:val="0"/>
          <w:divBdr>
            <w:top w:val="none" w:sz="0" w:space="0" w:color="auto"/>
            <w:left w:val="none" w:sz="0" w:space="0" w:color="auto"/>
            <w:bottom w:val="none" w:sz="0" w:space="0" w:color="auto"/>
            <w:right w:val="none" w:sz="0" w:space="0" w:color="auto"/>
          </w:divBdr>
        </w:div>
      </w:divsChild>
    </w:div>
    <w:div w:id="1699503123">
      <w:bodyDiv w:val="1"/>
      <w:marLeft w:val="0"/>
      <w:marRight w:val="0"/>
      <w:marTop w:val="0"/>
      <w:marBottom w:val="0"/>
      <w:divBdr>
        <w:top w:val="none" w:sz="0" w:space="0" w:color="auto"/>
        <w:left w:val="none" w:sz="0" w:space="0" w:color="auto"/>
        <w:bottom w:val="none" w:sz="0" w:space="0" w:color="auto"/>
        <w:right w:val="none" w:sz="0" w:space="0" w:color="auto"/>
      </w:divBdr>
    </w:div>
    <w:div w:id="1771968622">
      <w:bodyDiv w:val="1"/>
      <w:marLeft w:val="0"/>
      <w:marRight w:val="0"/>
      <w:marTop w:val="0"/>
      <w:marBottom w:val="0"/>
      <w:divBdr>
        <w:top w:val="none" w:sz="0" w:space="0" w:color="auto"/>
        <w:left w:val="none" w:sz="0" w:space="0" w:color="auto"/>
        <w:bottom w:val="none" w:sz="0" w:space="0" w:color="auto"/>
        <w:right w:val="none" w:sz="0" w:space="0" w:color="auto"/>
      </w:divBdr>
      <w:divsChild>
        <w:div w:id="13072819">
          <w:marLeft w:val="0"/>
          <w:marRight w:val="0"/>
          <w:marTop w:val="0"/>
          <w:marBottom w:val="0"/>
          <w:divBdr>
            <w:top w:val="none" w:sz="0" w:space="0" w:color="auto"/>
            <w:left w:val="none" w:sz="0" w:space="0" w:color="auto"/>
            <w:bottom w:val="none" w:sz="0" w:space="0" w:color="auto"/>
            <w:right w:val="none" w:sz="0" w:space="0" w:color="auto"/>
          </w:divBdr>
          <w:divsChild>
            <w:div w:id="1741442774">
              <w:marLeft w:val="0"/>
              <w:marRight w:val="0"/>
              <w:marTop w:val="0"/>
              <w:marBottom w:val="0"/>
              <w:divBdr>
                <w:top w:val="none" w:sz="0" w:space="0" w:color="auto"/>
                <w:left w:val="none" w:sz="0" w:space="0" w:color="auto"/>
                <w:bottom w:val="none" w:sz="0" w:space="0" w:color="auto"/>
                <w:right w:val="none" w:sz="0" w:space="0" w:color="auto"/>
              </w:divBdr>
              <w:divsChild>
                <w:div w:id="1070736896">
                  <w:marLeft w:val="0"/>
                  <w:marRight w:val="0"/>
                  <w:marTop w:val="0"/>
                  <w:marBottom w:val="0"/>
                  <w:divBdr>
                    <w:top w:val="none" w:sz="0" w:space="0" w:color="auto"/>
                    <w:left w:val="none" w:sz="0" w:space="0" w:color="auto"/>
                    <w:bottom w:val="none" w:sz="0" w:space="0" w:color="auto"/>
                    <w:right w:val="none" w:sz="0" w:space="0" w:color="auto"/>
                  </w:divBdr>
                  <w:divsChild>
                    <w:div w:id="1873766135">
                      <w:marLeft w:val="0"/>
                      <w:marRight w:val="0"/>
                      <w:marTop w:val="0"/>
                      <w:marBottom w:val="0"/>
                      <w:divBdr>
                        <w:top w:val="none" w:sz="0" w:space="0" w:color="auto"/>
                        <w:left w:val="none" w:sz="0" w:space="0" w:color="auto"/>
                        <w:bottom w:val="none" w:sz="0" w:space="0" w:color="auto"/>
                        <w:right w:val="none" w:sz="0" w:space="0" w:color="auto"/>
                      </w:divBdr>
                      <w:divsChild>
                        <w:div w:id="656300078">
                          <w:marLeft w:val="1200"/>
                          <w:marRight w:val="1200"/>
                          <w:marTop w:val="150"/>
                          <w:marBottom w:val="150"/>
                          <w:divBdr>
                            <w:top w:val="none" w:sz="0" w:space="0" w:color="auto"/>
                            <w:left w:val="none" w:sz="0" w:space="0" w:color="auto"/>
                            <w:bottom w:val="none" w:sz="0" w:space="0" w:color="auto"/>
                            <w:right w:val="none" w:sz="0" w:space="0" w:color="auto"/>
                          </w:divBdr>
                          <w:divsChild>
                            <w:div w:id="188844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625429">
      <w:bodyDiv w:val="1"/>
      <w:marLeft w:val="0"/>
      <w:marRight w:val="0"/>
      <w:marTop w:val="0"/>
      <w:marBottom w:val="0"/>
      <w:divBdr>
        <w:top w:val="none" w:sz="0" w:space="0" w:color="auto"/>
        <w:left w:val="none" w:sz="0" w:space="0" w:color="auto"/>
        <w:bottom w:val="none" w:sz="0" w:space="0" w:color="auto"/>
        <w:right w:val="none" w:sz="0" w:space="0" w:color="auto"/>
      </w:divBdr>
    </w:div>
    <w:div w:id="208741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pcommreports.ohchr.org/TmSearch/Resul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spcommreports.ohchr.org/TMResultsBase/DownLoadPublicCommunicationFile?gId=26512"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pcommreports.ohchr.org/TmSearch/Resul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hchr.org/EN/NewsEvents/Pages/DisplayNews.aspx?NewsID=27607&amp;LangID=E" TargetMode="External"/><Relationship Id="rId5" Type="http://schemas.openxmlformats.org/officeDocument/2006/relationships/numbering" Target="numbering.xml"/><Relationship Id="rId15" Type="http://schemas.openxmlformats.org/officeDocument/2006/relationships/hyperlink" Target="https://spcommreports.ohchr.org/TMResultsBase/DownLoadPublicCommunicationFile?gId=26258"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ohchr.org/EN/NewsEvents/Pages/DisplayNews.aspx?NewsID=27607&amp;LangID=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7A8AC42923E4B4689AA3F4BC71C9076" ma:contentTypeVersion="4" ma:contentTypeDescription="Create a new document." ma:contentTypeScope="" ma:versionID="04aa836d353562bbcb888e99e93cbc98">
  <xsd:schema xmlns:xsd="http://www.w3.org/2001/XMLSchema" xmlns:xs="http://www.w3.org/2001/XMLSchema" xmlns:p="http://schemas.microsoft.com/office/2006/metadata/properties" xmlns:ns2="9e7a892e-3f44-4f43-afda-1bb9b87abd5a" targetNamespace="http://schemas.microsoft.com/office/2006/metadata/properties" ma:root="true" ma:fieldsID="261ed7d34d42a9ca5a60cca5a534e22c" ns2:_="">
    <xsd:import namespace="9e7a892e-3f44-4f43-afda-1bb9b87abd5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7a892e-3f44-4f43-afda-1bb9b87abd5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EFE38-4F1A-4F74-B298-F2EE0CFB8DF3}">
  <ds:schemaRefs>
    <ds:schemaRef ds:uri="http://schemas.microsoft.com/sharepoint/v3/contenttype/forms"/>
  </ds:schemaRefs>
</ds:datastoreItem>
</file>

<file path=customXml/itemProps2.xml><?xml version="1.0" encoding="utf-8"?>
<ds:datastoreItem xmlns:ds="http://schemas.openxmlformats.org/officeDocument/2006/customXml" ds:itemID="{FA5E9EB1-6042-474D-AD04-7F6820A431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D205B6B-8D97-4CA7-A794-1322BF206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7a892e-3f44-4f43-afda-1bb9b87abd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0AA6B-A270-4319-8CD7-BA1BEE0D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436</Words>
  <Characters>2488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 Human Rights Regional Office for Europe (OHCHR)</dc:creator>
  <cp:keywords/>
  <dc:description/>
  <cp:lastModifiedBy>ROE</cp:lastModifiedBy>
  <cp:revision>2</cp:revision>
  <dcterms:created xsi:type="dcterms:W3CDTF">2022-03-03T20:31:00Z</dcterms:created>
  <dcterms:modified xsi:type="dcterms:W3CDTF">2022-03-03T20:31:00Z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0x01010037A8AC42923E4B4689AA3F4BC71C9076</vt:lpwstr>
  </property>
</Properties>
</file>